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BSAVfV — Art und Weise der Einreichung der Anträge in elektronischer Form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elektronischen Dokumente sind in der Anlage bezeichneten Art und Weise einzureichen.</w:t>
      </w:r>
    </w:p>
    <w:p>
      <w:r>
        <w:t xml:space="preserve">(2) Die elektronischen Dokumente können ebenfalls ohne elektronische Signatur in Papierform eingereicht werden. In diesem Fall sind der nach dem Ausdrucken automatisch erzeugte 2D-Barcode und die handschriftliche Unterschrift zwingend notwendig.</w:t>
      </w:r>
    </w:p>
    <w:p>
      <w:r>
        <w:rPr>
          <w:color w:val="555555"/>
          <w:sz w:val="17"/>
        </w:rPr>
        <w:t xml:space="preserve">Zitiervorschlag: § 1b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