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1a BSAVfV — Zulassung der elektronischen Form</w:t>
      </w:r>
    </w:p>
    <w:p>
      <w:r>
        <w:rPr>
          <w:color w:val="555555"/>
          <w:sz w:val="18"/>
        </w:rPr>
        <w:t xml:space="preserve">Verordnung über Verfahren vor dem Bundessortenamt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Beim Bundessortenamt können in folgenden Antragsverfahren elektronische Dokumente eingereicht werden:</w:t>
      </w:r>
    </w:p>
    <w:p>
      <w:pPr>
        <w:ind w:left="420"/>
      </w:pPr>
      <w:r>
        <w:t xml:space="preserve">1. Sortenschutz,</w:t>
      </w:r>
    </w:p>
    <w:p>
      <w:pPr>
        <w:ind w:left="420"/>
      </w:pPr>
      <w:r>
        <w:t xml:space="preserve">2. Sortenzulassung.</w:t>
      </w:r>
    </w:p>
    <w:p>
      <w:r>
        <w:rPr>
          <w:color w:val="555555"/>
          <w:sz w:val="17"/>
        </w:rPr>
        <w:t xml:space="preserve">Zitiervorschlag: § 1a BSAVfV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https://recht.nulegal.eu/gesetze/BSAVfV/1a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