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15 BSAVfV — Verkehr mit anderen Stellen</w:t>
      </w:r>
    </w:p>
    <w:p>
      <w:r>
        <w:rPr>
          <w:color w:val="555555"/>
          <w:sz w:val="18"/>
        </w:rPr>
        <w:t xml:space="preserve">Verordnung über Verfahren vor dem Bundessortenamt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Verkehr mit den zuständigen Behörden anderer Mitgliedstaaten und der Kommission der Europäischen Gemeinschaft obliegt dem Bundessortenamt in den Angelegenheiten, für die es nach § 37 des Saatgutverkehrsgesetzes zuständig ist.</w:t>
      </w:r>
    </w:p>
    <w:p>
      <w:r>
        <w:rPr>
          <w:color w:val="555555"/>
          <w:sz w:val="17"/>
        </w:rPr>
        <w:t xml:space="preserve">Zitiervorschlag: § 15 BSAVfV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https://recht.nulegal.eu/gesetze/BSAVfV/15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