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BSAVfV — Prüfungsgebühren</w:t>
      </w:r>
    </w:p>
    <w:p>
      <w:r>
        <w:rPr>
          <w:color w:val="555555"/>
          <w:sz w:val="18"/>
        </w:rPr>
        <w:t xml:space="preserve">Verordnung über Verfahren vor dem Bundessortenamt</w:t>
      </w:r>
    </w:p>
    <w:p>
      <w:r>
        <w:rPr>
          <w:color w:val="555555"/>
          <w:sz w:val="18"/>
        </w:rPr>
        <w:t xml:space="preserve">Außer Kraft: § 13 ist seit 01.10.2021 nicht mehr im BSAVfV enthalten. Angezeigt wird die letzte bekannte Fassung, Stand 10.06.2019.</w:t>
      </w:r>
    </w:p>
    <w:p>
      <w:r>
        <w:t xml:space="preserve">(1) Die Prüfungsgebühren (Gebührennummern 102, 202, 203, 204, 222, 232 und 251 der Anlage 2) werden, soweit in der Anlage nichts anderes bestimmt ist, für jede angefangene Prüfungsperiode erhoben. Die Gebührenschuld entsteht für jede Prüfungsperiode zu dem vom Bundessortenamt bestimmten Zeitpunkt. Die Gebühren werden nicht erhoben für eine Prüfungsperiode, in der das Bundessortenamt die Prüfung der Sorte oder Erhaltungszüchtung aus einem vom Antragsteller nicht zu vertretenden Grund nicht begonnen hat.</w:t>
      </w:r>
    </w:p>
    <w:p>
      <w:r>
        <w:t xml:space="preserve">(2) Können bei Sorten mehrjähriger Arten wegen der artbedingten Entwicklung der Pflanzen die Ausprägungen der Merkmale oder Eigenschaften in einer Prüfungsperiode nicht oder nicht vollständig festgestellt werden, so wird für diese Prüfungsperiode die Hälfte der Prüfungsgebühren erhoben.</w:t>
      </w:r>
    </w:p>
    <w:p>
      <w:r>
        <w:t xml:space="preserve">(3) Hat der Antragsteller für eine Sorte mehr als eine Nutzungsrichtung oder Anbauweise angegeben, so wird die Gebühr für jede Nutzungsrichtung oder Anbauweise erhoben, für die eine besondere Prüfung notwendig ist.</w:t>
      </w:r>
    </w:p>
    <w:p>
      <w:r>
        <w:t xml:space="preserve">(4) Die Prüfungsgebühren (Gebührennummern 102, 202, 203, 204 der Anlage 2) erhöhen sich bis zur Höhe der entstandenen Kosten im Falle</w:t>
      </w:r>
    </w:p>
    <w:p>
      <w:pPr>
        <w:ind w:left="420"/>
      </w:pPr>
      <w:r>
        <w:t xml:space="preserve">1. der Durchführung der vollständigen Anbauprüfung oder sonst erforderlicher Untersuchungen durch eine andere Stelle im Ausland oder Übernahme von Prüfungsergebnissen einer solchen Stelle oder</w:t>
      </w:r>
    </w:p>
    <w:p>
      <w:pPr>
        <w:ind w:left="420"/>
      </w:pPr>
      <w:r>
        <w:t xml:space="preserve">2. einer Prüfung außerhalb des üblichen Rahmens der Prüfung von Sorten der gleichen Art.</w:t>
      </w:r>
    </w:p>
    <w:p>
      <w:r>
        <w:t xml:space="preserve">(5) Bei Sorten, deren Pflanzen durch Kreuzung bestimmter Erbkomponenten erzeugt werden und bei denen das Bundessortenamt die Registerprüfung auf die Erbkomponenten erstreckt, wird für diese Prüfung zusätzlich eine Gebühr nach den Gebührennummern 102 und 202 der Anlage 2 erhoben.</w:t>
      </w:r>
    </w:p>
    <w:p>
      <w:r>
        <w:t xml:space="preserve">(6) Für die Zulassung von Erhaltungssorten gelten die in Anlage 3 gesondert aufgeführten Gebührentatbestände und Gebührensätze.</w:t>
      </w:r>
    </w:p>
    <w:p>
      <w:r>
        <w:rPr>
          <w:color w:val="555555"/>
          <w:sz w:val="17"/>
        </w:rPr>
        <w:t xml:space="preserve">Zitiervorschlag: § 13 BSAVfV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