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BSAVfV</w:t>
      </w:r>
    </w:p>
    <w:p>
      <w:r>
        <w:rPr>
          <w:color w:val="555555"/>
          <w:sz w:val="18"/>
        </w:rPr>
        <w:t xml:space="preserve">Verordnung über Verfahren vor dem Bundessortenamt</w:t>
      </w:r>
    </w:p>
    <w:p>
      <w:r>
        <w:rPr>
          <w:color w:val="555555"/>
          <w:sz w:val="18"/>
        </w:rPr>
        <w:t xml:space="preserve">Stand: 10.06.2019 (konsolidierte Textfassung, kein amtliches Inkrafttretensdatum)</w:t>
      </w:r>
    </w:p>
    <w:p>
      <w:r>
        <w:t xml:space="preserve">(1) Saatgut von Sorten nach § 55 Abs. 1 des Saatgutverkehrsgesetzes und von Sorten, die in einem der Sortenliste entsprechenden Verzeichnis eines anderen Vertragsstaates eingetragen sind und für die die Erhaltungszüchtung im Geltungsbereich des Saatgutverkehrsgesetzes durchgeführt wird, darf anerkannt werden,</w:t>
      </w:r>
    </w:p>
    <w:p>
      <w:pPr>
        <w:ind w:left="420"/>
      </w:pPr>
      <w:r>
        <w:t xml:space="preserve">1. soweit dies erforderlich ist, um zur Verbesserung der Saatgutversorgung in Vertragsstaaten Vermehrungsvorhaben im Geltungsbereich des Saatgutverkehrsgesetzes durchführen zu können, und</w:t>
      </w:r>
    </w:p>
    <w:p>
      <w:pPr>
        <w:ind w:left="420"/>
      </w:pPr>
      <w:r>
        <w:t xml:space="preserve">2. wenn Unterlagen vorliegen, die für die Anerkennung und die Nachprüfung die gleichen Informationen ermöglichen wie bei zugelassenen Sorten.</w:t>
      </w:r>
    </w:p>
    <w:p>
      <w:r>
        <w:t xml:space="preserve">(2) Das Bundessortenamt stellt auf Antrag fest, ob die Voraussetzungen nach Absatz 1 vorliegen, und erteilt dem Antragsteller hierüber einen Bescheid.</w:t>
      </w:r>
    </w:p>
    <w:p>
      <w:r>
        <w:rPr>
          <w:color w:val="555555"/>
          <w:sz w:val="17"/>
        </w:rPr>
        <w:t xml:space="preserve">Zitiervorschlag: § 11 BSAVfV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