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BSAVfVÄndV</w:t>
      </w:r>
    </w:p>
    <w:p>
      <w:r>
        <w:rPr>
          <w:color w:val="555555"/>
          <w:sz w:val="18"/>
        </w:rPr>
        <w:t xml:space="preserve">Verordnung zur Änderung der Verordnung über Verfahren vor dem Bundessortenamt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33 Abs. 2 des Sortenschutzgesetzes vom 11. Dezember 1985 (BGBl. I S. 2170), der durch Artikel 2 des Gesetzes vom 23. Juli 1992 (BGBl. I S. 1367) geändert worden ist, des § 54 Abs. 2 und des § 59a Abs. 2 des Saatgutverkehrsgesetzes vom 20. August 1985 (BGBl. I S. 1633), von denen § 54 durch Artikel 1 des Gesetzes vom 23. Juli 1992 (BGBl. I S. 1367) geändert und § 59a durch Artikel 2 des Gesetzes vom 25. November 1993 (BGBl. I S. 1917) eingefügt worden ist, jeweils in Verbindung mit dem 2. Abschnitt des Verwaltungskostengesetzes vom 23. Juni 1970 (BGBl. I S. 821), geändert durch Artikel 41 des Gesetzes vom 14. Dezember 1976 (BGBl. I S. 3341), verordnet das Bundesministerium für Ernährung, Landwirtschaft und Forsten im Einvernehmen mit den Bundesministerien der Finanzen und für Wirtschaft:</w:t>
      </w:r>
    </w:p>
    <w:p>
      <w:r>
        <w:rPr>
          <w:color w:val="555555"/>
          <w:sz w:val="17"/>
        </w:rPr>
        <w:t xml:space="preserve">Zitiervorschlag: Eingangsformel BSAVfVÄndV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https://recht.nulegal.eu/gesetze/BSAVfV%C3%84ndV/eingangsformel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