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BRpflAO (Brandenburg) — Inkrafttreten</w:t>
      </w:r>
    </w:p>
    <w:p>
      <w:r>
        <w:rPr>
          <w:color w:val="555555"/>
          <w:sz w:val="18"/>
        </w:rPr>
        <w:t xml:space="preserve">Bereichsrechtspflegerausbildungs- und -prüfungsordnung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1. Oktober 1996</w:t>
      </w:r>
    </w:p>
    <w:p>
      <w:r>
        <w:t xml:space="preserve">Der Minister der Justiz</w:t>
      </w:r>
    </w:p>
    <w:p>
      <w:r>
        <w:t xml:space="preserve">und für Bundes- und Europaangelegenheiten</w:t>
      </w:r>
    </w:p>
    <w:p>
      <w:r>
        <w:t xml:space="preserve">Dr. Hans Otto Bräutigam</w:t>
      </w:r>
    </w:p>
    <w:p>
      <w:r>
        <w:rPr>
          <w:color w:val="555555"/>
          <w:sz w:val="17"/>
        </w:rPr>
        <w:t xml:space="preserve">Zitiervorschlag: § 7 BRpflAO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https://recht.nulegal.eu/gesetze/BRpflAO/7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