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BRiNV — Richter des Bundesverfassungsgerichts</w:t>
      </w:r>
    </w:p>
    <w:p>
      <w:r>
        <w:rPr>
          <w:color w:val="555555"/>
          <w:sz w:val="18"/>
        </w:rPr>
        <w:t xml:space="preserve">Verordnung über die Nebentätigkeit der Richter im Bundesdienst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nicht für die Richter des Bundesverfassungsgerichts.</w:t>
      </w:r>
    </w:p>
    <w:p>
      <w:r>
        <w:rPr>
          <w:color w:val="555555"/>
          <w:sz w:val="17"/>
        </w:rPr>
        <w:t xml:space="preserve">Zitiervorschlag: § 9 BRiNV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https://recht.nulegal.eu/gesetze/BRiNV/9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