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BRiNV — Allgemeine Genehmigung von Nebenbeschäftigungen</w:t>
      </w:r>
    </w:p>
    <w:p>
      <w:r>
        <w:rPr>
          <w:color w:val="555555"/>
          <w:sz w:val="18"/>
        </w:rPr>
        <w:t xml:space="preserve">Verordnung über die Nebentätigkeit der Richter im Bundesdienst</w:t>
      </w:r>
    </w:p>
    <w:p>
      <w:r>
        <w:rPr>
          <w:color w:val="555555"/>
          <w:sz w:val="18"/>
        </w:rPr>
        <w:t xml:space="preserve">Stand: 10.06.2019 (konsolidierte Textfassung, kein amtliches Inkrafttretensdatum)</w:t>
      </w:r>
    </w:p>
    <w:p>
      <w:r>
        <w:t xml:space="preserve">(1) Die Genehmigung für eine oder mehrere Nebenbeschäftigungen gegen Vergütung außerhalb des öffentlichen Dienstes gilt allgemein als erteilt, wenn die Nebenbeschäftigungen insgesamt geringen Umfang haben und kein gesetzlicher Versagungsgrund vorliegt. Der Umfang einer oder mehrerer Nebenbeschäftigungen ist als gering anzusehen, wenn die Vergütung hierfür insgesamt 100 Euro im Monat nicht übersteigt. Die Nebenbeschäftigung ist der nach § 7 Abs. 1 für die Genehmigung einer Nebentätigkeit zuständigen Stelle anzuzeigen, es sei denn, daß es sich um eine einmalige, gelegentliche Nebenbeschäftigung handelt.</w:t>
      </w:r>
    </w:p>
    <w:p>
      <w:r>
        <w:t xml:space="preserve">(2) Eine als genehmigt geltende Nebenbeschäftigung ist zu untersagen, wenn Umstände eintreten oder bekannt werden, die nach § 5 die Versagung einer Genehmigung rechtfertigen würden.</w:t>
      </w:r>
    </w:p>
    <w:p>
      <w:r>
        <w:rPr>
          <w:color w:val="555555"/>
          <w:sz w:val="17"/>
        </w:rPr>
        <w:t xml:space="preserve">Zitiervorschlag: § 4 BRiNV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https://recht.nulegal.eu/gesetze/BRiNV/4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