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BRiNV — Nebentätigkeit im öffentlichen Dienst</w:t>
      </w:r>
    </w:p>
    <w:p>
      <w:r>
        <w:rPr>
          <w:color w:val="555555"/>
          <w:sz w:val="18"/>
        </w:rPr>
        <w:t xml:space="preserve">Verordnung über die Nebentätigkeit der Richter im Bundesdienst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öffentlichen Dienst darf der Richter nur eine richterliche oder eine nach § 4 des Deutschen Richtergesetzes mit dem Richteramt vereinbare Nebentätigkeit wahrnehmen. Entsprechendes gilt für eine Tätigkeit, die der Nebentätigkeit im öffentlichen Dienst gleichsteht.</w:t>
      </w:r>
    </w:p>
    <w:p>
      <w:r>
        <w:t xml:space="preserve">(2) Welche Tätigkeiten als öffentlicher Dienst anzusehen sind oder ihm gleichstehen, bestimmt sich nach den für Bundesbeamte geltenden Vorschriften.</w:t>
      </w:r>
    </w:p>
    <w:p>
      <w:r>
        <w:rPr>
          <w:color w:val="555555"/>
          <w:sz w:val="17"/>
        </w:rPr>
        <w:t xml:space="preserve">Zitiervorschlag: § 3 BRiNV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https://recht.nulegal.eu/gesetze/BRiNV/3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