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BRiNV — Heranziehung zu einer Nebentätigkeit</w:t>
      </w:r>
    </w:p>
    <w:p>
      <w:r>
        <w:rPr>
          <w:color w:val="555555"/>
          <w:sz w:val="18"/>
        </w:rPr>
        <w:t xml:space="preserve">Verordnung über die Nebentätigkeit der Richter im Bundesdienst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Richter darf nur herangezogen werden zu</w:t>
      </w:r>
    </w:p>
    <w:p>
      <w:pPr>
        <w:ind w:left="420"/>
      </w:pPr>
      <w:r>
        <w:t xml:space="preserve">1. einer richterlichen Nebentätigkeit,</w:t>
      </w:r>
    </w:p>
    <w:p>
      <w:pPr>
        <w:ind w:left="420"/>
      </w:pPr>
      <w:r>
        <w:t xml:space="preserve">2. einer Nebentätigkeit in der Gerichtsverwaltung und,</w:t>
      </w:r>
    </w:p>
    <w:p>
      <w:pPr>
        <w:ind w:left="420"/>
      </w:pPr>
      <w:r>
        <w:t xml:space="preserve">3. soweit § 4 des Deutschen Richtergesetzes nicht entgegensteht, einer Nebentätigkeit in der übrigen Rechtspflege.</w:t>
      </w:r>
    </w:p>
    <w:p>
      <w:r>
        <w:t xml:space="preserve">(2) Vor der Heranziehung soll der Richter gehört werden.</w:t>
      </w:r>
    </w:p>
    <w:p>
      <w:r>
        <w:rPr>
          <w:color w:val="555555"/>
          <w:sz w:val="17"/>
        </w:rPr>
        <w:t xml:space="preserve">Zitiervorschlag: § 2 BRiNV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https://recht.nulegal.eu/gesetze/BRiNV/2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