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BRiNV</w:t>
      </w:r>
    </w:p>
    <w:p>
      <w:r>
        <w:rPr>
          <w:color w:val="555555"/>
          <w:sz w:val="18"/>
        </w:rPr>
        <w:t xml:space="preserve">Verordnung über die Nebentätigkeit der Richter im Bundesdienst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BRiNV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https://recht.nulegal.eu/gesetze/BRiNV/10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