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BRegEntschBest</w:t>
      </w:r>
    </w:p>
    <w:p>
      <w:r>
        <w:rPr>
          <w:color w:val="555555"/>
          <w:sz w:val="18"/>
        </w:rPr>
        <w:t xml:space="preserve">Bestimmungen über Amtswohnungen, Umzugskostenentschädigung, Tagegelder und Entschädigung für Reisekosten der Mitglieder der Bundesregierung</w:t>
      </w:r>
    </w:p>
    <w:p>
      <w:r>
        <w:rPr>
          <w:color w:val="555555"/>
          <w:sz w:val="18"/>
        </w:rPr>
        <w:t xml:space="preserve">Historische Fassung: Stand 10.06.2019 bis 25.11.2025. Dies ist nicht die aktuelle Fassung.</w:t>
      </w:r>
    </w:p>
    <w:p>
      <w:r>
        <w:t xml:space="preserve">Auf Grund des § 12 Abs. 5 des Gesetzes über die Rechtsverhältnisse der Mitglieder der Bundesregierung (Bundesministergesetz) vom 17. Juni 1953 (Bundesgesetzbl. I S. 407) werden nach gutachtlicher Äußerung des Präsidenten des Bundesrechnungshofs folgende Bestimmungen erlassen:</w:t>
      </w:r>
    </w:p>
    <w:p>
      <w:r>
        <w:rPr>
          <w:color w:val="555555"/>
          <w:sz w:val="17"/>
        </w:rPr>
        <w:t xml:space="preserve">Zitiervorschlag: Eingangsformel BRegEntschBest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https://recht.nulegal.eu/gesetze/BRegEntschBest/eingangsformel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