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BRegEntschBest</w:t>
      </w:r>
    </w:p>
    <w:p>
      <w:r>
        <w:rPr>
          <w:color w:val="555555"/>
          <w:sz w:val="18"/>
        </w:rPr>
        <w:t xml:space="preserve">Bestimmungen über Amtswohnungen, Umzugskostenentschädigung, Tagegelder und Entschädigung für Reisekosten der Mitglieder der Bundesregierung</w:t>
      </w:r>
    </w:p>
    <w:p>
      <w:r>
        <w:rPr>
          <w:color w:val="555555"/>
          <w:sz w:val="18"/>
        </w:rPr>
        <w:t xml:space="preserve">Historische Fassung: Stand 10.06.2019 bis 25.11.2025. Dies ist nicht die aktuelle Fassung.</w:t>
      </w:r>
    </w:p>
    <w:p>
      <w:r>
        <w:t xml:space="preserve">(1) Den Mitgliedern der Bundesregierung wird für Umzüge, die infolge ihrer Ernennung erforderlich werden, eine Umzugskostenentschädigung in entsprechender Anwendung der §§ 4 bis 10, 14 des Bundesumzugskostengesetzes vom 8. April 1964 (Bundesgesetzbl. I S. 253) gewährt. Dabei ist von der höchsten Reisekostenstufe und Tarifklasse auszugehen. Die Erstattung von Auslagen nach den §§ 6 bis 8, 10, 14 des Bundesumzugskostengesetzes bedarf der Zustimmung des Bundesministers des Innern.</w:t>
      </w:r>
    </w:p>
    <w:p>
      <w:r>
        <w:t xml:space="preserve">(2) Für einen Umzug aus Anlaß des Ausscheidens aus dem Amt eines Mitgliedes der Bundesregierung gilt Absatz 1 entsprechend, wenn der Umzug spätestens zwei Jahre nach diesem Zeitpunkt durchgeführt wird. Bei einem Umzug in das Ausland wird die Umzugskostenentschädigung nur bis zum Grenzbahnhof oder zum Hafen des Inlandes gewährt.</w:t>
      </w:r>
    </w:p>
    <w:p>
      <w:r>
        <w:t xml:space="preserve">(3) Absatz 2 gilt auch für Hinterbliebene im Sinne des § 1 Abs. 2 des Bundesumzugskostengesetzes.</w:t>
      </w:r>
    </w:p>
    <w:p>
      <w:r>
        <w:rPr>
          <w:color w:val="555555"/>
          <w:sz w:val="17"/>
        </w:rPr>
        <w:t xml:space="preserve">Zitiervorschlag: § 6 BRegEntschBest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https://recht.nulegal.eu/gesetze/BRegEntschBest/6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