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BRegEntschBest</w:t>
      </w:r>
    </w:p>
    <w:p>
      <w:r>
        <w:rPr>
          <w:color w:val="555555"/>
          <w:sz w:val="18"/>
        </w:rPr>
        <w:t xml:space="preserve">Bestimmungen über Amtswohnungen, Umzugskostenentschädigung, Tagegelder und Entschädigung für Reisekosten der Mitglieder der Bundesregierung</w:t>
      </w:r>
    </w:p>
    <w:p>
      <w:r>
        <w:rPr>
          <w:color w:val="555555"/>
          <w:sz w:val="18"/>
        </w:rPr>
        <w:t xml:space="preserve">Historische Fassung: Stand 10.06.2019 bis 25.11.2025. Dies ist nicht die aktuelle Fassung.</w:t>
      </w:r>
    </w:p>
    <w:p>
      <w:r>
        <w:t xml:space="preserve">Die Amtswohnungen sind nach den Vorschriften der Anlage zu verwalten und zu bewirtschaften.</w:t>
      </w:r>
    </w:p>
    <w:p>
      <w:r>
        <w:rPr>
          <w:color w:val="555555"/>
          <w:sz w:val="17"/>
        </w:rPr>
        <w:t xml:space="preserve">Zitiervorschlag: § 5 BRegEntschBest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https://recht.nulegal.eu/gesetze/BRegEntschBest/5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