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BRegEntschBest</w:t>
      </w:r>
    </w:p>
    <w:p>
      <w:r>
        <w:rPr>
          <w:color w:val="555555"/>
          <w:sz w:val="18"/>
        </w:rPr>
        <w:t xml:space="preserve">Bestimmungen über Amtswohnungen, Umzugskostenentschädigung, Tagegelder und Entschädigung für Reisekosten der Mitglieder der Bundesregierung</w:t>
      </w:r>
    </w:p>
    <w:p>
      <w:r>
        <w:rPr>
          <w:color w:val="555555"/>
          <w:sz w:val="18"/>
        </w:rPr>
        <w:t xml:space="preserve">Historische Fassung: Stand 10.06.2019 bis 25.11.2025. Dies ist nicht die aktuelle Fassung.</w:t>
      </w:r>
    </w:p>
    <w:p>
      <w:r>
        <w:t xml:space="preserve">(1) Eine Amtswohnung darf nur ungeteilt zugewiesen werden.</w:t>
      </w:r>
    </w:p>
    <w:p>
      <w:r>
        <w:t xml:space="preserve">(2) Der Wohnungsinhaber ist nicht berechtigt, die Amtswohnung ganz oder teilweise einem anderen zu überlassen oder zu vermieten. Ihre Verwendung zu Dienstzwecken wird hierdurch nicht berührt.</w:t>
      </w:r>
    </w:p>
    <w:p>
      <w:r>
        <w:rPr>
          <w:color w:val="555555"/>
          <w:sz w:val="17"/>
        </w:rPr>
        <w:t xml:space="preserve">Zitiervorschlag: § 3 BRegEntschBest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https://recht.nulegal.eu/gesetze/BRegEntschBest/3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