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BRegEntschBest</w:t>
      </w:r>
    </w:p>
    <w:p>
      <w:r>
        <w:rPr>
          <w:color w:val="555555"/>
          <w:sz w:val="18"/>
        </w:rPr>
        <w:t xml:space="preserve">Bestimmungen über Amtswohnungen, Umzugskostenentschädigung, Tagegelder und Entschädigung für Reisekosten der Mitglieder der Bundesregierung</w:t>
      </w:r>
    </w:p>
    <w:p>
      <w:r>
        <w:rPr>
          <w:color w:val="555555"/>
          <w:sz w:val="18"/>
        </w:rPr>
        <w:t xml:space="preserve">Historische Fassung: Stand 10.06.2019 bis 25.11.2025. Dies ist nicht die aktuelle Fassung.</w:t>
      </w:r>
    </w:p>
    <w:p>
      <w:r>
        <w:t xml:space="preserve">(1) Diese Bestimmungen treten mit Wirkung vom 1. April 1953 ab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13 BRegEntschBest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https://recht.nulegal.eu/gesetze/BRegEntschBest/13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