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BRegEntschBest</w:t>
      </w:r>
    </w:p>
    <w:p>
      <w:r>
        <w:rPr>
          <w:color w:val="555555"/>
          <w:sz w:val="18"/>
        </w:rPr>
        <w:t xml:space="preserve">Bestimmungen über Amtswohnungen, Umzugskostenentschädigung, Tagegelder und Entschädigung für Reisekosten der Mitglieder der Bundesregierung</w:t>
      </w:r>
    </w:p>
    <w:p>
      <w:r>
        <w:rPr>
          <w:color w:val="555555"/>
          <w:sz w:val="18"/>
        </w:rPr>
        <w:t xml:space="preserve">Historische Fassung: Stand 10.06.2019 bis 25.11.2025. Dies ist nicht die aktuelle Fassung.</w:t>
      </w:r>
    </w:p>
    <w:p>
      <w:r>
        <w:t xml:space="preserve">(1) Entscheidungen nach § 1 Abs. 2, 3 und § 2 Abs. 1 trifft der Bundeskanzler im Benehmen mit dem Bundesminister des Innern, soweit dieser nicht selbst betroffen ist.</w:t>
      </w:r>
    </w:p>
    <w:p>
      <w:r>
        <w:t xml:space="preserve">(2) Ergeben sich bei der Anwendung dieser Bestimmungen Zweifel, so ist mit dem Bundesminister des Innern in Verbindung zu treten.</w:t>
      </w:r>
    </w:p>
    <w:p>
      <w:r>
        <w:rPr>
          <w:color w:val="555555"/>
          <w:sz w:val="17"/>
        </w:rPr>
        <w:t xml:space="preserve">Zitiervorschlag: § 12 BRegEntschBest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https://recht.nulegal.eu/gesetze/BRegEntschBest/12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