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BRegEntschBest</w:t>
      </w:r>
    </w:p>
    <w:p>
      <w:r>
        <w:rPr>
          <w:color w:val="555555"/>
          <w:sz w:val="18"/>
        </w:rPr>
        <w:t xml:space="preserve">Bestimmungen über Amtswohnungen, Umzugskostenentschädigung, Tagegelder und Entschädigung für Reisekosten der Mitglieder der Bundesregierung</w:t>
      </w:r>
    </w:p>
    <w:p>
      <w:r>
        <w:rPr>
          <w:color w:val="555555"/>
          <w:sz w:val="18"/>
        </w:rPr>
        <w:t xml:space="preserve">Historische Fassung: Stand 10.06.2019 bis 25.11.2025. Dies ist nicht die aktuelle Fassung.</w:t>
      </w:r>
    </w:p>
    <w:p>
      <w:r>
        <w:t xml:space="preserve">Bei amtlicher Tätigkeit im Ausland gelten die für die Bundesbeamten der höchsten Reisekostenstufe maßgebenden Bestimmungen entsprechend.</w:t>
      </w:r>
    </w:p>
    <w:p>
      <w:r>
        <w:rPr>
          <w:color w:val="555555"/>
          <w:sz w:val="17"/>
        </w:rPr>
        <w:t xml:space="preserve">Zitiervorschlag: § 11 BRegEntschBest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https://recht.nulegal.eu/gesetze/BRegEntschBest/11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