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BRSekrZustAnO — Vorbehaltsklausel</w:t>
      </w:r>
    </w:p>
    <w:p>
      <w:r>
        <w:rPr>
          <w:color w:val="555555"/>
          <w:sz w:val="18"/>
        </w:rPr>
        <w:t xml:space="preserve">Anordnung zur Übertragung von Zuständigkeiten im Widerspruchsverfahren und über die Vertretung von Klagen aus dem Beamtenverhältnis für die Beamtinnen und Beamten des Sekretariats des Bundesrates in Angelegenheiten der Besoldung, des Trennungsgelds, der Umzugskostenvergütung und der Beihilfe</w:t>
      </w:r>
    </w:p>
    <w:p>
      <w:r>
        <w:rPr>
          <w:color w:val="555555"/>
          <w:sz w:val="18"/>
        </w:rPr>
        <w:t xml:space="preserve">Stand: 10.06.2019 (konsolidierte Textfassung, kein amtliches Inkrafttretensdatum)</w:t>
      </w:r>
    </w:p>
    <w:p>
      <w:r>
        <w:t xml:space="preserve">Das Sekretariat des Bundesrates kann im Einzelfall die Zuständigkeit nach § 1 und die Vertretung nach § 2 abweichend von dieser Anordnung regeln.</w:t>
      </w:r>
    </w:p>
    <w:p>
      <w:r>
        <w:rPr>
          <w:color w:val="555555"/>
          <w:sz w:val="17"/>
        </w:rPr>
        <w:t xml:space="preserve">Zitiervorschlag: § 3 BRSekrZustAnO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https://recht.nulegal.eu/gesetze/BRSekrZustAnO/3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