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BRSekrHausO — Ausnahmen und Einschränkungen</w:t>
      </w:r>
    </w:p>
    <w:p>
      <w:r>
        <w:rPr>
          <w:color w:val="555555"/>
          <w:sz w:val="18"/>
        </w:rPr>
        <w:t xml:space="preserve">Hausordnung für das Sekretariat des Bundesrates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Präsidentin oder der Präsident des Bundesrates entscheidet über Ausnahmen oder Abweichungen von dieser Anordnung im Einzelfall sowie über die Einschränkung oder Erweiterung der Zutrittsberechtigung von Besuchern aus besonderem Anlass.</w:t>
      </w:r>
    </w:p>
    <w:p>
      <w:r>
        <w:rPr>
          <w:color w:val="555555"/>
          <w:sz w:val="17"/>
        </w:rPr>
        <w:t xml:space="preserve">Zitiervorschlag: § 8 BRSekrHausO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https://recht.nulegal.eu/gesetze/BRSekrHausO/8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