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Inhaltsübersicht BRRG</w:t>
      </w:r>
    </w:p>
    <w:p>
      <w:r>
        <w:rPr>
          <w:color w:val="555555"/>
          <w:sz w:val="18"/>
        </w:rPr>
        <w:t xml:space="preserve">Beamtenrechtsrahmengesetz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Kapitel I    (weggefallen)    </w:t>
      </w:r>
    </w:p>
    <w:p>
      <w:r>
        <w:rPr>
          <w:rFonts w:ascii="Courier New" w:hAnsi="Courier New"/>
          <w:sz w:val="17"/>
        </w:rPr>
        <w:t xml:space="preserve">Kapitel II</w:t>
      </w:r>
    </w:p>
    <w:p>
      <w:r>
        <w:rPr>
          <w:rFonts w:ascii="Courier New" w:hAnsi="Courier New"/>
          <w:sz w:val="17"/>
        </w:rPr>
        <w:t xml:space="preserve">Vorschriften, die einheitlich und unmittelbar gelten</w:t>
      </w:r>
    </w:p>
    <w:p>
      <w:r>
        <w:rPr>
          <w:rFonts w:ascii="Courier New" w:hAnsi="Courier New"/>
          <w:sz w:val="17"/>
        </w:rPr>
        <w:t xml:space="preserve">Abschnitt I:    Allgemeines    §§ 121 bis 125c</w:t>
      </w:r>
    </w:p>
    <w:p>
      <w:r>
        <w:rPr>
          <w:rFonts w:ascii="Courier New" w:hAnsi="Courier New"/>
          <w:sz w:val="17"/>
        </w:rPr>
        <w:t xml:space="preserve">Abschnitt II:    Rechtsweg    §§ 126 und 127</w:t>
      </w:r>
    </w:p>
    <w:p>
      <w:r>
        <w:rPr>
          <w:rFonts w:ascii="Courier New" w:hAnsi="Courier New"/>
          <w:sz w:val="17"/>
        </w:rPr>
        <w:t xml:space="preserve">Abschnitt III:    Rechtsstellung der Beamten und Versorgungsempfänger bei der Umbildung von Körperschaften    §§ 128 bis 133</w:t>
      </w:r>
    </w:p>
    <w:p>
      <w:r>
        <w:rPr>
          <w:rFonts w:ascii="Courier New" w:hAnsi="Courier New"/>
          <w:sz w:val="17"/>
        </w:rPr>
        <w:t xml:space="preserve">Abschnitt IV:    Sonderregelungen für den Spannungs- und Verteidigungsfall    §§ 133a bis 133e</w:t>
      </w:r>
    </w:p>
    <w:p>
      <w:r>
        <w:rPr>
          <w:rFonts w:ascii="Courier New" w:hAnsi="Courier New"/>
          <w:sz w:val="17"/>
        </w:rPr>
        <w:t xml:space="preserve">Abschnitt V:    Sonderregelungen für Verwendungen im Ausland    § 133f</w:t>
      </w:r>
    </w:p>
    <w:p>
      <w:r>
        <w:rPr>
          <w:rFonts w:ascii="Courier New" w:hAnsi="Courier New"/>
          <w:sz w:val="17"/>
        </w:rPr>
        <w:t xml:space="preserve">Kapitel III</w:t>
      </w:r>
    </w:p>
    <w:p>
      <w:r>
        <w:rPr>
          <w:rFonts w:ascii="Courier New" w:hAnsi="Courier New"/>
          <w:sz w:val="17"/>
        </w:rPr>
        <w:t xml:space="preserve">    Allgemeine Schlußvorschriften    § 135</w:t>
      </w:r>
    </w:p>
    <w:p>
      <w:r>
        <w:rPr>
          <w:color w:val="555555"/>
          <w:sz w:val="17"/>
        </w:rPr>
        <w:t xml:space="preserve">Zitiervorschlag: Inhaltsübersicht BRRG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https://recht.nulegal.eu/gesetze/BRRG/inhaltsuebersicht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