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133c BRRG</w:t>
      </w:r>
    </w:p>
    <w:p>
      <w:r>
        <w:rPr>
          <w:color w:val="555555"/>
          <w:sz w:val="18"/>
        </w:rPr>
        <w:t xml:space="preserve">Beamtenrechtsrahmengesetz</w:t>
      </w:r>
    </w:p>
    <w:p>
      <w:r>
        <w:rPr>
          <w:color w:val="555555"/>
          <w:sz w:val="18"/>
        </w:rPr>
        <w:t xml:space="preserve">Stand: 10.06.2019 (konsolidierte Textfassung, kein amtliches Inkrafttretensdatum)</w:t>
      </w:r>
    </w:p>
    <w:p>
      <w:r>
        <w:t xml:space="preserve">Die Entlassung eines Beamten auf seinen Antrag kann für Zwecke der Verteidigung hinausgeschoben werden, wenn dies im öffentlichen Interesse erforderlich ist und der Personalbedarf der öffentlichen Verwaltung im Bereich seines Dienstherrn auf freiwilliger Grundlage nicht gedeckt werden kann. Satz 1 gilt entsprechend für den Ablauf der Amtszeit bei Beamtenverhältnissen auf Zeit. Der Eintritt des Beamten in den Ruhestand nach Erreichen der Altersgrenze und die vorzeitige Versetzung in den Ruhestand auf Antrag ohne Nachweis der Dienstunfähigkeit können unter den Voraussetzungen des Satzes 1 bis zum Ende des Monats hinausgeschoben werden, in dem der Beamte das 65. Lebensjahr vollendet.</w:t>
      </w:r>
    </w:p>
    <w:p>
      <w:r>
        <w:rPr>
          <w:color w:val="555555"/>
          <w:sz w:val="17"/>
        </w:rPr>
        <w:t xml:space="preserve">Zitiervorschlag: § 133c BRRG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https://recht.nulegal.eu/gesetze/BRRG/133c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