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133b BRRG</w:t>
      </w:r>
    </w:p>
    <w:p>
      <w:r>
        <w:rPr>
          <w:color w:val="555555"/>
          <w:sz w:val="18"/>
        </w:rPr>
        <w:t xml:space="preserve">Beamtenrechtsrahmengesetz</w:t>
      </w:r>
    </w:p>
    <w:p>
      <w:r>
        <w:rPr>
          <w:color w:val="555555"/>
          <w:sz w:val="18"/>
        </w:rPr>
        <w:t xml:space="preserve">Stand: 10.06.2019 (konsolidierte Textfassung, kein amtliches Inkrafttretensdatum)</w:t>
      </w:r>
    </w:p>
    <w:p>
      <w:r>
        <w:t xml:space="preserve">(1) Der Beamte kann für Zwecke der Verteidigung auch ohne seine Zustimmung zu einem anderen Dienstherrn abgeordnet oder zur Dienstleistung bei über- oder zwischenstaatlichen zivilen Dienststellen verpflichtet werden.</w:t>
      </w:r>
    </w:p>
    <w:p>
      <w:r>
        <w:t xml:space="preserve">(2) Dem Beamten können für Zwecke der Verteidigung auch Aufgaben übertragen werden, die nicht seinem Amt oder seiner Laufbahnbefähigung entsprechen, sofern ihm die Übernahme nach seiner Vor- und Ausbildung und im Hinblick auf die Ausnahmesituation zumutbar ist. Aufgaben einer niedrigeren Laufbahngruppe dürfen ihm nur übertragen werden, wenn dies aus dienstlichen Gründen unabweisbar ist.</w:t>
      </w:r>
    </w:p>
    <w:p>
      <w:r>
        <w:t xml:space="preserve">(3) Der Beamte hat bei der Erfüllung der ihm für Zwecke der Verteidigung übertragenen Aufgaben Gefahren und Erschwernisse auf sich zu nehmen, soweit diese ihm nach den Umständen und seinen persönlichen Verhältnissen zugemutet werden können.</w:t>
      </w:r>
    </w:p>
    <w:p>
      <w:r>
        <w:t xml:space="preserve">(4) Der Beamte ist bei einer Verlegung der Behörde oder Dienststelle - auch außerhalb des Geltungsbereiches dieses Gesetzes - zur Dienstleistung am neuen Dienstort verpflichtet.</w:t>
      </w:r>
    </w:p>
    <w:p>
      <w:r>
        <w:rPr>
          <w:color w:val="555555"/>
          <w:sz w:val="17"/>
        </w:rPr>
        <w:t xml:space="preserve">Zitiervorschlag: § 133b BRRG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https://recht.nulegal.eu/gesetze/BRRG/133b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