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132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des § 128 Abs. 1 und 2 und des § 129 gelten entsprechend für die im Zeitpunkt der Umbildung bei der abgebenden Körperschaft vorhandenen Versorgungsempfänger.</w:t>
      </w:r>
    </w:p>
    <w:p>
      <w:r>
        <w:t xml:space="preserve">(2) In den Fällen des § 128 Abs. 3 bleiben die Ansprüche der im Zeitpunkt der Umbildung vorhandenen Versorgungsempfänger gegenüber der abgebenden Körperschaft bestehen.</w:t>
      </w:r>
    </w:p>
    <w:p>
      <w:r>
        <w:t xml:space="preserve">(3) Die Absätze 1 und 2 gelten entsprechend in den Fällen des § 128 Abs. 4.</w:t>
      </w:r>
    </w:p>
    <w:p>
      <w:r>
        <w:rPr>
          <w:color w:val="555555"/>
          <w:sz w:val="17"/>
        </w:rPr>
        <w:t xml:space="preserve">Zitiervorschlag: § 132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https://recht.nulegal.eu/gesetze/BRRG/132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