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127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Revision gegen das Urteil eines Oberverwaltungsgerichts über eine Klage aus dem Beamtenverhältnis gilt folgendes:</w:t>
      </w:r>
    </w:p>
    <w:p>
      <w:pPr>
        <w:ind w:left="420"/>
      </w:pPr>
      <w:r>
        <w:t xml:space="preserve">1. Die Revision ist außer in den Fällen des § 132 Abs. 2 der Verwaltungsgerichtsordnung zuzulassen, wenn das Urteil von der Entscheidung eines anderen Oberverwaltungsgerichts abweicht und auf dieser Abweichung beruht, solange eine Entscheidung des Bundesverwaltungsgerichts in der Rechtsfrage nicht ergangen ist.</w:t>
      </w:r>
    </w:p>
    <w:p>
      <w:pPr>
        <w:ind w:left="420"/>
      </w:pPr>
      <w:r>
        <w:t xml:space="preserve">2. Die Revision kann außer auf die Verletzung von Bundesrecht darauf gestützt werden, daß das angefochtene Urteil auf der Verletzung von Landesrecht beruht.</w:t>
      </w:r>
    </w:p>
    <w:p>
      <w:r>
        <w:rPr>
          <w:color w:val="555555"/>
          <w:sz w:val="17"/>
        </w:rPr>
        <w:t xml:space="preserve">Zitiervorschlag: § 127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