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alle Klagen der Beamten, Ruhestandsbeamten, früheren Beamten und der Hinterbliebenen aus dem Beamtenverhältnis ist der Verwaltungsrechtsweg gegeben.</w:t>
      </w:r>
    </w:p>
    <w:p>
      <w:r>
        <w:t xml:space="preserve">(2) Für Klagen des Dienstherrn gilt das gleiche.</w:t>
      </w:r>
    </w:p>
    <w:p>
      <w:r>
        <w:t xml:space="preserve">(3) Für Klagen nach Absatz 1, einschließlich der Leistungs- und Feststellungsklagen, gelten die Vorschriften des 8. Abschnitts der Verwaltungsgerichtsordnung mit folgenden Maßgaben:</w:t>
      </w:r>
    </w:p>
    <w:p>
      <w:pPr>
        <w:ind w:left="420"/>
      </w:pPr>
      <w:r>
        <w:t xml:space="preserve">1. Eines Vorverfahrens bedarf es auch dann, wenn die Maßnahme von der obersten Dienstbehörde getroffen worden ist.</w:t>
      </w:r>
    </w:p>
    <w:p>
      <w:pPr>
        <w:ind w:left="420"/>
      </w:pPr>
      <w:r>
        <w:t xml:space="preserve">2. Den Widerspruchsbescheid erläßt die oberste Dienstbehörde. Sie kann die Entscheidung für Fälle, in denen sie die Maßnahme nicht selbst getroffen hat, durch allgemeine Anordnung auf andere Behörden übertragen; die Anordnung ist zu veröffentlichen.</w:t>
      </w:r>
    </w:p>
    <w:p>
      <w:pPr>
        <w:ind w:left="420"/>
      </w:pPr>
      <w:r>
        <w:t xml:space="preserve">3. Widerspruch und Anfechtungsklage gegen die Abordnung oder die Versetzung haben keine aufschiebende Wirkung.</w:t>
      </w:r>
    </w:p>
    <w:p>
      <w:pPr>
        <w:ind w:left="420"/>
      </w:pPr>
      <w:r>
        <w:t xml:space="preserve">4. Eines Vorverfahrens bedarf es nicht, wenn ein Gesetz dies bestimmt.</w:t>
      </w:r>
    </w:p>
    <w:p>
      <w:r>
        <w:rPr>
          <w:color w:val="555555"/>
          <w:sz w:val="17"/>
        </w:rPr>
        <w:t xml:space="preserve">Zitiervorschlag: § 126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