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125c BRRG</w:t>
      </w:r>
    </w:p>
    <w:p>
      <w:r>
        <w:rPr>
          <w:color w:val="555555"/>
          <w:sz w:val="18"/>
        </w:rPr>
        <w:t xml:space="preserve">Beamtenrechtsrahmengesetz</w:t>
      </w:r>
    </w:p>
    <w:p>
      <w:r>
        <w:rPr>
          <w:color w:val="555555"/>
          <w:sz w:val="18"/>
        </w:rPr>
        <w:t xml:space="preserve">Stand: 10.06.2019 (konsolidierte Textfassung, kein amtliches Inkrafttretensdatum)</w:t>
      </w:r>
    </w:p>
    <w:p>
      <w:r>
        <w:t xml:space="preserve">(1) Das Gericht, die Strafverfolgungs- oder die Strafvollstreckungsbehörde hat in Strafverfahren gegen Beamte zur Sicherstellung der erforderlichen dienstrechtlichen Maßnahmen im Falle der Erhebung der öffentlichen Klage</w:t>
      </w:r>
    </w:p>
    <w:p>
      <w:pPr>
        <w:ind w:left="420"/>
      </w:pPr>
      <w:r>
        <w:t xml:space="preserve">1. die Anklageschrift oder eine an ihre Stelle tretende Antragsschrift,</w:t>
      </w:r>
    </w:p>
    <w:p>
      <w:pPr>
        <w:ind w:left="420"/>
      </w:pPr>
      <w:r>
        <w:t xml:space="preserve">2. den Antrag auf Erlaß eines Strafbefehls und</w:t>
      </w:r>
    </w:p>
    <w:p>
      <w:pPr>
        <w:ind w:left="420"/>
      </w:pPr>
      <w:r>
        <w:t xml:space="preserve">3. die einen Rechtszug abschließende Entscheidung mit Begründung</w:t>
      </w:r>
    </w:p>
    <w:p>
      <w:r>
        <w:t xml:space="preserve">zu übermitteln; ist gegen die Entscheidung ein Rechtsmittel eingelegt worden, ist die Entscheidung unter Hinweis auf das eingelegte Rechtsmittel zu übermitteln. Der Erlaß und der Vollzug eines Haftbefehls oder eines Unterbringungsbefehls sind mitzuteilen.</w:t>
      </w:r>
    </w:p>
    <w:p>
      <w:r>
        <w:t xml:space="preserve">(2) In Verfahren wegen fahrlässig begangener Straftaten werden die in Absatz 1 Satz 1 bestimmten Übermittlungen nur vorgenommen, wenn</w:t>
      </w:r>
    </w:p>
    <w:p>
      <w:pPr>
        <w:ind w:left="420"/>
      </w:pPr>
      <w:r>
        <w:t xml:space="preserve">1. es sich um schwere Verstöße, namentlich Vergehen der Trunkenheit im Straßenverkehr oder der fahrlässigen Tötung, handelt oder</w:t>
      </w:r>
    </w:p>
    <w:p>
      <w:pPr>
        <w:ind w:left="420"/>
      </w:pPr>
      <w:r>
        <w:t xml:space="preserve">2. in sonstigen Fällen die Kenntnis der Daten auf Grund der Umstände des Einzelfalls erforderlich ist, um zu prüfen, ob dienstrechtliche Maßnahmen zu ergreifen sind.</w:t>
      </w:r>
    </w:p>
    <w:p>
      <w:r>
        <w:t xml:space="preserve">(3) Entscheidungen über Verfahrenseinstellungen, die nicht bereits nach den Absätzen 1 oder 2 zu übermitteln sind, sollen übermittelt werden, wenn die in Absatz 2 Nr. 2 genannten Voraussetzungen erfüllt sind. Dabei ist zu berücksichtigen, wie gesichert die zu übermittelnden Erkenntnisse sind.</w:t>
      </w:r>
    </w:p>
    <w:p>
      <w:r>
        <w:t xml:space="preserve">(4) Sonstige Tatsache, die in einem Strafverfahren bekannt werden, dürfen mitgeteilt werden, wenn ihre Kenntnis auf Grund besonderer Umstände des Einzelfalls für dienstrechtliche Maßnahmen gegen einen Beamten erforderlich ist und soweit nicht für die übermittelnde Stelle erkennbar ist, daß schutzwürdige Interessen des Beamten an dem Ausschluß der Übermittlung überwiegen; erforderlich ist die Kenntnis der Daten auch dann, wenn diese Anlaß zur Prüfung bieten, ob dienstrechtliche Maßnahmen zu ergreifen sind. Absatz 3 Satz 2 ist entsprechend anzuwenden.</w:t>
      </w:r>
    </w:p>
    <w:p>
      <w:r>
        <w:t xml:space="preserve">(5) Nach den Absätzen 1 bis 4 übermittelte Daten dürfen auch für die Wahrnehmung der Aufgaben nach dem Sicherheitsüberprüfungsgesetz oder einem entsprechenden Landesgesetz verwendet werden.</w:t>
      </w:r>
    </w:p>
    <w:p>
      <w:r>
        <w:t xml:space="preserve">(6) Übermittlungen nach den Absätzen 1 bis 3 sind auch zulässig, soweit sie Daten betreffen, die dem Steuergeheimnis (§ 30 der Abgabenordnung) unterliegen. Übermittlungen nach Absatz 4 sind unter den Voraussetzungen des § 30 Abs. 4 Nr. 5 der Abgabenordnung zulässig.</w:t>
      </w:r>
    </w:p>
    <w:p>
      <w:r>
        <w:t xml:space="preserve">(7) Mitteilungen sind an den zuständigen Dienstvorgesetzten oder seinen Vertreter im Amt zu richten und als "Vertrauliche Personalsache" zu kennzeichnen.</w:t>
      </w:r>
    </w:p>
    <w:p>
      <w:r>
        <w:rPr>
          <w:color w:val="555555"/>
          <w:sz w:val="17"/>
        </w:rPr>
        <w:t xml:space="preserve">Zitiervorschlag: § 125c BRRG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https://recht.nulegal.eu/gesetze/BRRG/125c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