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123 BRRG</w:t>
      </w:r>
    </w:p>
    <w:p>
      <w:r>
        <w:rPr>
          <w:color w:val="555555"/>
          <w:sz w:val="18"/>
        </w:rPr>
        <w:t xml:space="preserve">Beamtenrechtsrahmengesetz</w:t>
      </w:r>
    </w:p>
    <w:p>
      <w:r>
        <w:rPr>
          <w:color w:val="555555"/>
          <w:sz w:val="18"/>
        </w:rPr>
        <w:t xml:space="preserve">Stand: 10.06.2019 (konsolidierte Textfassung, kein amtliches Inkrafttretensdatum)</w:t>
      </w:r>
    </w:p>
    <w:p>
      <w:r>
        <w:t xml:space="preserve">(1) Der Beamte kann nach Maßgabe der §§ 17 und 18 auch über den Bereich des Bundes oder eines Landes hinaus zu einem anderen Dienstherrn im Geltungsbereich dieses Gesetzes abgeordnet oder versetzt werden.</w:t>
      </w:r>
    </w:p>
    <w:p>
      <w:r>
        <w:t xml:space="preserve">(2) Die Abordnung oder Versetzung wird von dem abgebenden im Einverständnis mit dem aufnehmenden Dienstherrn verfügt; das Einverständnis ist schriftlich oder elektronisch zu erklären. In der Verfügung ist zum Ausdruck zu bringen, daß das Einverständnis vorliegt.</w:t>
      </w:r>
    </w:p>
    <w:p>
      <w:r>
        <w:rPr>
          <w:color w:val="555555"/>
          <w:sz w:val="17"/>
        </w:rPr>
        <w:t xml:space="preserve">Zitiervorschlag: § 123 BRRG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https://recht.nulegal.eu/gesetze/BRRG/123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