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BRPHV — Inkrafttreten</w:t>
      </w:r>
    </w:p>
    <w:p>
      <w:r>
        <w:rPr>
          <w:color w:val="555555"/>
          <w:sz w:val="18"/>
        </w:rPr>
        <w:t xml:space="preserve">Verordnung über die Raumordnung im Bund für einen länderübergreifenden Hochwasserschutz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Diese Verordnung tritt am 1. September 2021 in Kraft.</w:t>
      </w:r>
    </w:p>
    <w:p>
      <w:r>
        <w:rPr>
          <w:color w:val="555555"/>
          <w:sz w:val="17"/>
        </w:rPr>
        <w:t xml:space="preserve">Zitiervorschlag: § 2 BRPHV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https://recht.nulegal.eu/gesetze/BRPHV/2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