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BRKG 2005 — Verwaltungsvorschriften</w:t>
      </w:r>
    </w:p>
    <w:p>
      <w:r>
        <w:rPr>
          <w:color w:val="555555"/>
          <w:sz w:val="18"/>
        </w:rPr>
        <w:t xml:space="preserve">Bundesreisekostengesetz</w:t>
      </w:r>
    </w:p>
    <w:p>
      <w:r>
        <w:rPr>
          <w:color w:val="555555"/>
          <w:sz w:val="18"/>
        </w:rPr>
        <w:t xml:space="preserve">Stand: 01.07.2020 (konsolidierte Textfassung, kein amtliches Inkrafttretensdatum)</w:t>
      </w:r>
    </w:p>
    <w:p>
      <w:r>
        <w:t xml:space="preserve">Allgemeine Verwaltungsvorschriften zu diesem Gesetz erlässt das Bundesministerium des Innern, für Bau und Heimat. Verwaltungsvorschriften zu den Sondervorschriften für die Reisekostenvergütung für Auslandsdienstreisen erlässt das Bundesministerium des Innern, für Bau und Heimat im Einvernehmen mit dem Auswärtigen Amt.</w:t>
      </w:r>
    </w:p>
    <w:p>
      <w:r>
        <w:rPr>
          <w:color w:val="555555"/>
          <w:sz w:val="17"/>
        </w:rPr>
        <w:t xml:space="preserve">Zitiervorschlag: § 16 BRKG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https://recht.nulegal.eu/gesetze/BRKG%202005/16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