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BRK-Gesetz (Bayern) — Satzung</w:t>
      </w:r>
    </w:p>
    <w:p>
      <w:r>
        <w:rPr>
          <w:color w:val="555555"/>
          <w:sz w:val="18"/>
        </w:rPr>
        <w:t xml:space="preserve">Gesetz über die Rechtsstellung des Bayerischen Roten Kreuzes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Aufgaben im einzelnen sowie die Mitgliedschaft, der Aufbau, die Organe und die Verbandswirtschaft werden durch Satzung geregelt.</w:t>
      </w:r>
    </w:p>
    <w:p>
      <w:r>
        <w:t xml:space="preserve">(2) Die Satzung bedarf der aufsichtlichen Genehmigung und wird im Bayerischen Staatsanzeiger veröffentlicht.</w:t>
      </w:r>
    </w:p>
    <w:p>
      <w:r>
        <w:rPr>
          <w:color w:val="555555"/>
          <w:sz w:val="17"/>
        </w:rPr>
        <w:t xml:space="preserve">Zitiervorschlag: Art 4 BRK-Gesetz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https://recht.nulegal.eu/gesetze/BRK-Gesetz/4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