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BRHWidVertAnO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Bundesrechnungshofs in Angelegenheiten der Festsetzung, Berechnung und Zahlbarmachung von Bezügen</w:t>
      </w:r>
    </w:p>
    <w:p>
      <w:r>
        <w:rPr>
          <w:color w:val="555555"/>
          <w:sz w:val="18"/>
        </w:rPr>
        <w:t xml:space="preserve">Stand: 27.09.2022 (konsolidierte Textfassung, kein amtliches Inkrafttretensdatum)</w:t>
      </w:r>
    </w:p>
    <w:p>
      <w:r>
        <w:t xml:space="preserve">Nach § 126 Absatz 3 Satz 2 und § 127 Absatz 3 Satz 1 des Bundesbeamtengesetzes vom 5. Februar 2009 (BGBl. I S. 160) ordnet der Bundesrechnungshof an:</w:t>
      </w:r>
    </w:p>
    <w:p>
      <w:r>
        <w:rPr>
          <w:color w:val="555555"/>
          <w:sz w:val="17"/>
        </w:rPr>
        <w:t xml:space="preserve">Zitiervorschlag: Eingangsformel BRHWidVertAnO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https://recht.nulegal.eu/gesetze/BRHWidVertAnO/eingangsformel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