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BRHWidVertAnO — Inkrafttreten</w:t>
      </w:r>
    </w:p>
    <w:p>
      <w:r>
        <w:rPr>
          <w:color w:val="555555"/>
          <w:sz w:val="18"/>
        </w:rPr>
        <w:t xml:space="preserve">Anordnung zur Übertragung von Zuständigkeiten für den Erlass von Widerspruchsbescheiden und die Vertretung des Dienstherrn bei Klagen von Beschäftigten des Bundesrechnungshofs in Angelegenheiten der Festsetzung, Berechnung und Zahlbarmachung von Bezügen</w:t>
      </w:r>
    </w:p>
    <w:p>
      <w:r>
        <w:rPr>
          <w:color w:val="555555"/>
          <w:sz w:val="18"/>
        </w:rPr>
        <w:t xml:space="preserve">Stand: 27.09.2022 (konsolidierte Textfassung, kein amtliches Inkrafttretensdatum)</w:t>
      </w:r>
    </w:p>
    <w:p>
      <w:r>
        <w:t xml:space="preserve">Diese Anordnung tritt mit Wirkung vom 1. Juli 2022 in Kraft.</w:t>
      </w:r>
    </w:p>
    <w:p>
      <w:r>
        <w:rPr>
          <w:color w:val="555555"/>
          <w:sz w:val="17"/>
        </w:rPr>
        <w:t xml:space="preserve">Zitiervorschlag: § 4 BRHWidVertAnO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https://recht.nulegal.eu/gesetze/BRHWidVertAnO/4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