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BRHWidVertAnO — Übergangsregelung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Bundesrechnungshofs in Angelegenheiten der Festsetzung, Berechnung und Zahlbarmachung von Bezügen</w:t>
      </w:r>
    </w:p>
    <w:p>
      <w:r>
        <w:rPr>
          <w:color w:val="555555"/>
          <w:sz w:val="18"/>
        </w:rPr>
        <w:t xml:space="preserve">Stand: 27.09.2022 (konsolidierte Textfassung, kein amtliches Inkrafttretensdatum)</w:t>
      </w:r>
    </w:p>
    <w:p>
      <w:r>
        <w:t xml:space="preserve">Die §§ 1 und 2 sind nicht anzuwenden auf Widersprüche und Klagen, die vor dem 1. Juli 2022 erhoben worden sind.</w:t>
      </w:r>
    </w:p>
    <w:p>
      <w:r>
        <w:rPr>
          <w:color w:val="555555"/>
          <w:sz w:val="17"/>
        </w:rPr>
        <w:t xml:space="preserve">Zitiervorschlag: § 3 BRHWidVertAnO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https://recht.nulegal.eu/gesetze/BRHWidVertAnO/3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