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BRHWidVertAnO — Vertretung bei Klagen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Bundesrechnungshofs in Angelegenheiten der Festsetzung, Berechnung und Zahlbarmachung von Bezügen</w:t>
      </w:r>
    </w:p>
    <w:p>
      <w:r>
        <w:rPr>
          <w:color w:val="555555"/>
          <w:sz w:val="18"/>
        </w:rPr>
        <w:t xml:space="preserve">Stand: 27.09.2022 (konsolidierte Textfassung, kein amtliches Inkrafttretensdatum)</w:t>
      </w:r>
    </w:p>
    <w:p>
      <w:r>
        <w:t xml:space="preserve">Der Präsidentin oder dem Präsidenten des Bundesverwaltungsamts wird die Vertretung des Bundes in verwaltungsgerichtlichen Verfahren übertragen, soweit das Bundesverwaltungsamt für den Erlass des Widerspruchbescheids zuständig war.</w:t>
      </w:r>
    </w:p>
    <w:p>
      <w:r>
        <w:rPr>
          <w:color w:val="555555"/>
          <w:sz w:val="17"/>
        </w:rPr>
        <w:t xml:space="preserve">Zitiervorschlag: § 2 BRHWidVertAnO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https://recht.nulegal.eu/gesetze/BRHWidVertAnO/2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