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BRHG 1985 — Mitglieder des Bundesrechnungshofes</w:t>
      </w:r>
    </w:p>
    <w:p>
      <w:r>
        <w:rPr>
          <w:color w:val="555555"/>
          <w:sz w:val="18"/>
        </w:rPr>
        <w:t xml:space="preserve">Bundesrechnungshofgesetz</w:t>
      </w:r>
    </w:p>
    <w:p>
      <w:r>
        <w:rPr>
          <w:color w:val="555555"/>
          <w:sz w:val="18"/>
        </w:rPr>
        <w:t xml:space="preserve">Stand: 10.06.2019 (konsolidierte Textfassung, kein amtliches Inkrafttretensdatum)</w:t>
      </w:r>
    </w:p>
    <w:p>
      <w:r>
        <w:t xml:space="preserve">(1) Mitglieder des Bundesrechnungshofes sind der Präsident, der Vizepräsident, die Leiter der Prüfungsabteilungen und die Prüfungsgebietsleiter.</w:t>
      </w:r>
    </w:p>
    <w:p>
      <w:r>
        <w:t xml:space="preserve">(2) Der Präsident und der Vizepräsident werden zu Beamten auf Zeit ernannt. Die Amtszeit des Präsidenten und des Vizepräsidenten beträgt zwölf Jahre; sie endet spätestens mit Ablauf des Monats, in dem die Beamten die gesetzliche Altersgrenze erreichen. Der Präsident und der Vizepräsident treten nach Ablauf ihrer Amtszeit in den Ruhestand. Im übrigen finden auf sie die Vorschriften des Bundesbeamtengesetzes über die Beamten auf Lebenszeit mit Ausnahme der Vorschriften über die Laufbahnen und die Probezeit entsprechende Anwendung.</w:t>
      </w:r>
    </w:p>
    <w:p>
      <w:r>
        <w:t xml:space="preserve">(3) Die Mitglieder müssen die Befähigung für eine Laufbahn des höheren Dienstes erworben haben. Sie sollen daneben über eine vielseitige Berufserfahrung verfügen. Der Präsident oder der Vizepräsident und mindestens ein Drittel der übrigen Mitglieder müssen die Befähigung zum Richteramt haben. Eine angemessene Anzahl der Mitglieder soll eine wirtschaftswissenschaftliche oder technische Vorbildung besitzen.</w:t>
      </w:r>
    </w:p>
    <w:p>
      <w:r>
        <w:t xml:space="preserve">(4) Die Mitglieder des Bundesrechnungshofes besitzen richterliche Unabhängigkeit (Artikel 114 Abs. 2 Satz 1 des Grundgesetzes). Die für die Richter an den obersten Gerichtshöfen des Bundes geltenden Vorschriften über Unabhängigkeit und Disziplinarmaßnahmen sind entsprechend anzuwenden. § 48 Abs. 2, 4 und 5 des Deutschen Richtergesetzes findet Anwendung.</w:t>
      </w:r>
    </w:p>
    <w:p>
      <w:r>
        <w:rPr>
          <w:color w:val="555555"/>
          <w:sz w:val="17"/>
        </w:rPr>
        <w:t xml:space="preserve">Zitiervorschlag: § 3 BRHG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https://recht.nulegal.eu/gesetze/BRHG%201985/3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