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BRHG 1985 — Geschäftsordnung</w:t>
      </w:r>
    </w:p>
    <w:p>
      <w:r>
        <w:rPr>
          <w:color w:val="555555"/>
          <w:sz w:val="18"/>
        </w:rPr>
        <w:t xml:space="preserve">Bundesrechnungshofgesetz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Große Senat erläßt die Geschäftsordnung des Bundesrechnungshofes. Sie trifft die nach § 11 Abs. 1 Satz 2 und § 13 Abs. 1 Satz 3 und Abs. 2 Satz 2 vorgesehenen Regelungen. Sie kann auch näheres zur Organisation und zum Verfahren des Bundesrechnungshofes bestimmen, insbesondere auch</w:t>
      </w:r>
    </w:p>
    <w:p>
      <w:pPr>
        <w:ind w:left="420"/>
      </w:pPr>
      <w:r>
        <w:t xml:space="preserve">1. zur Vertretung der Abteilungsleiter und der Prüfungsgebietsleiter,</w:t>
      </w:r>
    </w:p>
    <w:p>
      <w:pPr>
        <w:ind w:left="420"/>
      </w:pPr>
      <w:r>
        <w:t xml:space="preserve">2. zur Bildung und Organisation von Prüfungsgruppen (§ 2 Abs. 2 Satz 2),</w:t>
      </w:r>
    </w:p>
    <w:p>
      <w:pPr>
        <w:ind w:left="420"/>
      </w:pPr>
      <w:r>
        <w:t xml:space="preserve">3. das Verfahren der Entscheidungsgremien,</w:t>
      </w:r>
    </w:p>
    <w:p>
      <w:pPr>
        <w:ind w:left="420"/>
      </w:pPr>
      <w:r>
        <w:t xml:space="preserve">4. Regeln zur Durchführung abteilungsübergreifender Prüfungs- oder Beratungsvorhaben.</w:t>
      </w:r>
    </w:p>
    <w:p>
      <w:r>
        <w:t xml:space="preserve">(2) Die Geschäftsordnung ist dem Deutschen Bundestag, dem Bundesrat und der Bundesregierung mitzuteilen.</w:t>
      </w:r>
    </w:p>
    <w:p>
      <w:r>
        <w:rPr>
          <w:color w:val="555555"/>
          <w:sz w:val="17"/>
        </w:rPr>
        <w:t xml:space="preserve">Zitiervorschlag: § 20 BRHG 1985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https://recht.nulegal.eu/gesetze/BRHG%201985/20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