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BRHG 1985 — Geheimhaltungsbedürftige Angelegenheiten</w:t>
      </w:r>
    </w:p>
    <w:p>
      <w:r>
        <w:rPr>
          <w:color w:val="555555"/>
          <w:sz w:val="18"/>
        </w:rPr>
        <w:t xml:space="preserve">Bundesrechnungshofgesetz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im Haushaltsplan nach § 10a der Bundeshaushaltsordnung bestimmt, daß die Prüfung durch den Bundesrechnungshof</w:t>
      </w:r>
    </w:p>
    <w:p>
      <w:pPr>
        <w:ind w:left="420"/>
      </w:pPr>
      <w:r>
        <w:t xml:space="preserve">1. durch das zuständige Kollegium unter Mitwirkung des Präsidenten oder des Vizepräsidenten oder</w:t>
      </w:r>
    </w:p>
    <w:p>
      <w:pPr>
        <w:ind w:left="420"/>
      </w:pPr>
      <w:r>
        <w:t xml:space="preserve">2. allein durch den Präsidenten oder, wenn dessen Stelle nicht besetzt ist, durch den Vizepräsidenten</w:t>
      </w:r>
    </w:p>
    <w:p>
      <w:r>
        <w:t xml:space="preserve">vorgenommen wird, entfällt die Zuständigkeit der Senate und des Großen Senats. In den Fällen des Satzes 1 Nr. 1 können weitere Beamte bei dem Verfahren zur Hilfeleistung herangezogen werden. Das Dreierkollegium entscheidet mit Stimmenmehrheit.</w:t>
      </w:r>
    </w:p>
    <w:p>
      <w:r>
        <w:rPr>
          <w:color w:val="555555"/>
          <w:sz w:val="17"/>
        </w:rPr>
        <w:t xml:space="preserve">Zitiervorschlag: § 19 BRHG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https://recht.nulegal.eu/gesetze/BRHG%201985/19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