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BRGO 2025 — Wahl der Präsidentin oder des Präsidenten und der Vizepräsidentinnen oder der Vizepräsidenten</w:t>
      </w:r>
    </w:p>
    <w:p>
      <w:r>
        <w:rPr>
          <w:color w:val="555555"/>
          <w:sz w:val="18"/>
        </w:rPr>
        <w:t xml:space="preserve">Geschäftsordnung des Bundesrates</w:t>
      </w:r>
    </w:p>
    <w:p>
      <w:r>
        <w:rPr>
          <w:color w:val="555555"/>
          <w:sz w:val="18"/>
        </w:rPr>
        <w:t xml:space="preserve">Stand: 29.05.2025 (konsolidierte Textfassung, kein amtliches Inkrafttretensdatum)</w:t>
      </w:r>
    </w:p>
    <w:p>
      <w:r>
        <w:t xml:space="preserve">(1) Der Bundesrat wählt ohne Aussprache für ein Jahr aus seinen Mitgliedern eine Präsidentin oder einen Präsidenten und zwei Vizepräsidentinnen oder Vizepräsidenten.</w:t>
      </w:r>
    </w:p>
    <w:p>
      <w:r>
        <w:t xml:space="preserve">(2) Der Bundesrat kann auf Antrag der Mehrheit seiner Stimmen die Präsidentin, den Präsidenten, eine Vizepräsidentin oder einen Vizepräsidenten abberufen. Der Antrag muss spätestens am sechsten Tag vor der Sitzung schriftlich eingebracht werden. Der Bundesrat entscheidet in dieser Sitzung über den Antrag ohne Ausschussüberweisung. Eine Aussprache findet nicht statt. Der Beschluss bedarf der Mehrheit von zwei Dritteln der Stimmen des Bundesrates und ist in Abweichung von § 32 Satz 1 sofort wirksam.</w:t>
      </w:r>
    </w:p>
    <w:p>
      <w:r>
        <w:t xml:space="preserve">(3) Endet das Amt der Präsidentin, des Präsidenten, einer Vizepräsidentin oder eines Vizepräsidenten vorzeitig, so soll innerhalb von vier Wochen eine Nachwahl stattfinden.</w:t>
      </w:r>
    </w:p>
    <w:p>
      <w:r>
        <w:rPr>
          <w:color w:val="555555"/>
          <w:sz w:val="17"/>
        </w:rPr>
        <w:t xml:space="preserve">Zitiervorschlag: § 5 BRGO 2025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https://recht.nulegal.eu/gesetze/BRGO%202025/5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