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46 BRGO 2025 — Stellvertretung</w:t>
      </w:r>
    </w:p>
    <w:p>
      <w:r>
        <w:rPr>
          <w:color w:val="555555"/>
          <w:sz w:val="18"/>
        </w:rPr>
        <w:t xml:space="preserve">Geschäftsordnung des Bundesrates</w:t>
      </w:r>
    </w:p>
    <w:p>
      <w:r>
        <w:rPr>
          <w:color w:val="555555"/>
          <w:sz w:val="18"/>
        </w:rPr>
        <w:t xml:space="preserve">Stand: 29.05.2025 (konsolidierte Textfassung, kein amtliches Inkrafttretensdatum)</w:t>
      </w:r>
    </w:p>
    <w:p>
      <w:r>
        <w:t xml:space="preserve">Mitglieder des Bundesrates und seiner Ausschüsse im Sinne dieser Geschäftsordnung sind auch die stellvertretenden Mitglieder.</w:t>
      </w:r>
    </w:p>
    <w:p>
      <w:r>
        <w:rPr>
          <w:color w:val="555555"/>
          <w:sz w:val="17"/>
        </w:rPr>
        <w:t xml:space="preserve">Zitiervorschlag: § 46 BRGO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https://recht.nulegal.eu/gesetze/BRGO%202025/46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