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45f BRGO 2025 — Öffentlichkeit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(1) Die Europakammer verhandelt öffentlich. Die Öffentlichkeit kann ausgeschlossen werden. Soweit die Zuständigkeit der Europakammer auf der Wahrung der Vertraulichkeit beruht, beschließt sie über den Ausschluss der Öffentlichkeit. Im Übrigen ist § 17 entsprechend anzuwenden.</w:t>
      </w:r>
    </w:p>
    <w:p>
      <w:r>
        <w:t xml:space="preserve">(2) Beschlüsse der Europakammer und ihre Begründungen werden veröffentlicht, soweit die Europakammer nichts anderes beschließt.</w:t>
      </w:r>
    </w:p>
    <w:p>
      <w:r>
        <w:rPr>
          <w:color w:val="555555"/>
          <w:sz w:val="17"/>
        </w:rPr>
        <w:t xml:space="preserve">Zitiervorschlag: § 45f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https://recht.nulegal.eu/gesetze/BRGO%202025/45f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