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45e BRGO 2025 — Vorbereitung der Sitzungen der Europakammer</w:t>
      </w:r>
    </w:p>
    <w:p>
      <w:r>
        <w:rPr>
          <w:color w:val="555555"/>
          <w:sz w:val="18"/>
        </w:rPr>
        <w:t xml:space="preserve">Geschäftsordnung des Bundesrates</w:t>
      </w:r>
    </w:p>
    <w:p>
      <w:r>
        <w:rPr>
          <w:color w:val="555555"/>
          <w:sz w:val="18"/>
        </w:rPr>
        <w:t xml:space="preserve">Stand: 29.05.2025 (konsolidierte Textfassung, kein amtliches Inkrafttretensdatum)</w:t>
      </w:r>
    </w:p>
    <w:p>
      <w:r>
        <w:t xml:space="preserve">(1) Die Sitzungen der Europakammer sollen durch die Ausschüsse vorbereitet werden, soweit dies zeitlich möglich ist.</w:t>
      </w:r>
    </w:p>
    <w:p>
      <w:r>
        <w:t xml:space="preserve">(2) Die oder der Vorsitzende beruft die Europakammer zu einem ihr zugewiesenen Beratungsgegenstand ein. Sie oder er hat die Europakammer einzuberufen, wenn mindestens zwei Länder es verlangen.</w:t>
      </w:r>
    </w:p>
    <w:p>
      <w:r>
        <w:t xml:space="preserve">(3) Die Einberufungsfrist beträgt eine Woche. Sie kann in Eilfällen so verkürzt werden, wie es der Beratungsstand erfordert. Die Einberufung erfolgt durch Übermittlung der vorläufigen Tagesordnung.</w:t>
      </w:r>
    </w:p>
    <w:p>
      <w:r>
        <w:rPr>
          <w:color w:val="555555"/>
          <w:sz w:val="17"/>
        </w:rPr>
        <w:t xml:space="preserve">Zitiervorschlag: § 45e BRGO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https://recht.nulegal.eu/gesetze/BRGO%202025/45e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