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BRGO 2025 — Beschlüsse, Stimmberechtigung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(1) Die Ausschüsse sind beschlussfähig, wenn mehr als die Hälfte der Länder vertreten ist.</w:t>
      </w:r>
    </w:p>
    <w:p>
      <w:r>
        <w:t xml:space="preserve">(2) Jedes Land hat in den Ausschüssen eine Stimme.</w:t>
      </w:r>
    </w:p>
    <w:p>
      <w:r>
        <w:t xml:space="preserve">(3) Die Ausschüsse fassen ihre Beschlüsse mit einfacher Mehrheit.</w:t>
      </w:r>
    </w:p>
    <w:p>
      <w:r>
        <w:t xml:space="preserve">(4) Stimmberechtigt sind die an der Sitzung teilnehmenden Mitglieder des Bundesrates und Beauftragten der Landesregierungen. Sind mehrere stimmberechtigte Personen eines Landes anwesend, regelt das Land die Stimmabgabe intern.</w:t>
      </w:r>
    </w:p>
    <w:p>
      <w:r>
        <w:rPr>
          <w:color w:val="555555"/>
          <w:sz w:val="17"/>
        </w:rPr>
        <w:t xml:space="preserve">Zitiervorschlag: § 42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BRGO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