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BRGO 2025 — Berichterstattung im Ausschuss</w:t>
      </w:r>
    </w:p>
    <w:p>
      <w:r>
        <w:rPr>
          <w:color w:val="555555"/>
          <w:sz w:val="18"/>
        </w:rPr>
        <w:t xml:space="preserve">Geschäftsordnung des Bundesrates</w:t>
      </w:r>
    </w:p>
    <w:p>
      <w:r>
        <w:rPr>
          <w:color w:val="555555"/>
          <w:sz w:val="18"/>
        </w:rPr>
        <w:t xml:space="preserve">Stand: 29.05.2025 (konsolidierte Textfassung, kein amtliches Inkrafttretensdatum)</w:t>
      </w:r>
    </w:p>
    <w:p>
      <w:r>
        <w:t xml:space="preserve">Der Ausschuss bestellt, soweit dies für seine Beratungen erforderlich ist, für die einzelnen Beratungsgegenstände Berichterstatterinnen oder Berichterstatter. Die Berichte werden mündlich erstattet, soweit der Ausschuss nichts anderes beschließt.</w:t>
      </w:r>
    </w:p>
    <w:p>
      <w:r>
        <w:rPr>
          <w:color w:val="555555"/>
          <w:sz w:val="17"/>
        </w:rPr>
        <w:t xml:space="preserve">Zitiervorschlag: § 41 BRGO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https://recht.nulegal.eu/gesetze/BRGO%202025/41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