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BRGO 2025 — Ausweise, Fahrkarten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Stand: 29.05.2025 (konsolidierte Textfassung, kein amtliches Inkrafttretensdatum)</w:t>
      </w:r>
    </w:p>
    <w:p>
      <w:r>
        <w:t xml:space="preserve">(1) Jedes Mitglied erhält vom Bundesrat einen Ausweis über seine Eigenschaft als Bundesratsmitglied. Die Mitglieder des Bundesrates erhalten außerdem Fahrkarten für die Deutsche Bahn AG.</w:t>
      </w:r>
    </w:p>
    <w:p>
      <w:r>
        <w:t xml:space="preserve">(2) Ausweise und Fahrkarten sind eine Woche nach Erlöschen der Mitgliedschaft zurückzugeben.</w:t>
      </w:r>
    </w:p>
    <w:p>
      <w:r>
        <w:rPr>
          <w:color w:val="555555"/>
          <w:sz w:val="17"/>
        </w:rPr>
        <w:t xml:space="preserve">Zitiervorschlag: § 4 BRGO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https://recht.nulegal.eu/gesetze/BRGO%202025/4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