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BRGO 2025 — Beratung</w:t>
      </w:r>
    </w:p>
    <w:p>
      <w:r>
        <w:rPr>
          <w:color w:val="555555"/>
          <w:sz w:val="18"/>
        </w:rPr>
        <w:t xml:space="preserve">Geschäftsordnung des Bundesrates</w:t>
      </w:r>
    </w:p>
    <w:p>
      <w:r>
        <w:rPr>
          <w:color w:val="555555"/>
          <w:sz w:val="18"/>
        </w:rPr>
        <w:t xml:space="preserve">Stand: 29.05.2025 (konsolidierte Textfassung, kein amtliches Inkrafttretensdatum)</w:t>
      </w:r>
    </w:p>
    <w:p>
      <w:r>
        <w:t xml:space="preserve">(1) Die Ausschüsse bereiten die Beschlussfassung des Bundesrates vor.</w:t>
      </w:r>
    </w:p>
    <w:p>
      <w:r>
        <w:t xml:space="preserve">(2) Die Präsidentin oder der Präsident kann die Ausschüsse mit der Ausarbeitung gutachtlicher Stellungnahmen beauftragen.</w:t>
      </w:r>
    </w:p>
    <w:p>
      <w:r>
        <w:t xml:space="preserve">(3) Mehrere Ausschüsse können gemeinsam beraten. Ist ein Beratungsgegenstand für die Fachgebiete mehrerer Ausschüsse von gleicher Bedeutung, so kann die Präsidentin oder der Präsident gemeinsame Beratung anordnen.</w:t>
      </w:r>
    </w:p>
    <w:p>
      <w:r>
        <w:t xml:space="preserve">(4) Die Ausschüsse können Unterausschüsse einsetzen.</w:t>
      </w:r>
    </w:p>
    <w:p>
      <w:r>
        <w:t xml:space="preserve">(5) Die Ausschüsse sollen ihre Beratungen am achten Tag vor der nächsten Sitzung des Bundesrates abgeschlossen haben.</w:t>
      </w:r>
    </w:p>
    <w:p>
      <w:r>
        <w:rPr>
          <w:color w:val="555555"/>
          <w:sz w:val="17"/>
        </w:rPr>
        <w:t xml:space="preserve">Zitiervorschlag: § 39 BRGO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https://recht.nulegal.eu/gesetze/BRGO%202025/39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