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BRGO 2025 — Zuweisung der Vorlagen</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(1) Die Präsidentin oder der Präsident weist die Vorlagen den zuständigen Ausschüssen zu und bestimmt den federführenden Ausschuss. Die Beteiligung mehrerer Ausschüsse an der Beratung einer Vorlage soll möglichst beschränkt werden. Die Präsidentin oder der Präsident kann die Direktorin oder den Direktor des Bundesrates mit der Zuweisung der Vorlagen und der Bestimmung des federführenden Ausschusses beauftragen.</w:t>
      </w:r>
    </w:p>
    <w:p>
      <w:r>
        <w:t xml:space="preserve">(2) Die Präsidentin oder der Präsident hat Vorlagen eines Landes auf dessen Verlangen unmittelbar auf die vorläufige Tagesordnung des Bundesrates zu setzen.</w:t>
      </w:r>
    </w:p>
    <w:p>
      <w:r>
        <w:rPr>
          <w:color w:val="555555"/>
          <w:sz w:val="17"/>
        </w:rPr>
        <w:t xml:space="preserve">Zitiervorschlag: § 36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