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BRGO 2025 — Sitzungsbericht</w:t>
      </w:r>
    </w:p>
    <w:p>
      <w:r>
        <w:rPr>
          <w:color w:val="555555"/>
          <w:sz w:val="18"/>
        </w:rPr>
        <w:t xml:space="preserve">Geschäftsordnung des Bundesrates</w:t>
      </w:r>
    </w:p>
    <w:p>
      <w:r>
        <w:rPr>
          <w:color w:val="555555"/>
          <w:sz w:val="18"/>
        </w:rPr>
        <w:t xml:space="preserve">Stand: 29.05.2025 (konsolidierte Textfassung, kein amtliches Inkrafttretensdatum)</w:t>
      </w:r>
    </w:p>
    <w:p>
      <w:r>
        <w:t xml:space="preserve">(1) Über die Sitzungen des Bundesrates wird ein wörtlicher Bericht aufgenommen.</w:t>
      </w:r>
    </w:p>
    <w:p>
      <w:r>
        <w:t xml:space="preserve">(2) Der Bericht ist vertraulich, soweit die Verhandlungen vertraulich sind (§ 17 Absatz 2). Der Bundesrat kann bestimmen, dass über eine nicht öffentliche Sitzung ein Bericht nicht aufgenommen wird.</w:t>
      </w:r>
    </w:p>
    <w:p>
      <w:r>
        <w:t xml:space="preserve">(3) Der Bericht gilt als genehmigt, wenn nicht innerhalb von zwei Wochen nach seiner Ausgabe Einspruch bei der Präsidentin oder dem Präsidenten eingelegt wird. Gibt die Präsidentin oder der Präsident dem Einspruch nicht statt, so entscheidet der Bundesrat.</w:t>
      </w:r>
    </w:p>
    <w:p>
      <w:r>
        <w:rPr>
          <w:color w:val="555555"/>
          <w:sz w:val="17"/>
        </w:rPr>
        <w:t xml:space="preserve">Zitiervorschlag: § 34 BRGO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https://recht.nulegal.eu/gesetze/BRGO%202025/34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BRGO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