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BRGO 2025 — Beschlussfähigkeit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Stand: 29.05.2025 (konsolidierte Textfassung, kein amtliches Inkrafttretensdatum)</w:t>
      </w:r>
    </w:p>
    <w:p>
      <w:r>
        <w:t xml:space="preserve">(1) Der Bundesrat ist beschlussfähig, wenn die Mehrheit seiner Stimmen vertreten ist.</w:t>
      </w:r>
    </w:p>
    <w:p>
      <w:r>
        <w:t xml:space="preserve">(2) Bei Beschlussunfähigkeit hat die Präsidentin oder der Präsident die Sitzung aufzuheben und den Zeitpunkt der nächsten Sitzung bekanntzugeben.</w:t>
      </w:r>
    </w:p>
    <w:p>
      <w:r>
        <w:t xml:space="preserve">(3) Bei der Beschlussfassung des Bundesrates gemäß Artikel 37, Artikel 84 Absatz 3 und 4 und Artikel 91 Absatz 2 des Grundgesetzes ist das betroffene Land stimmberechtigt.</w:t>
      </w:r>
    </w:p>
    <w:p>
      <w:r>
        <w:rPr>
          <w:color w:val="555555"/>
          <w:sz w:val="17"/>
        </w:rPr>
        <w:t xml:space="preserve">Zitiervorschlag: § 28 BRGO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https://recht.nulegal.eu/gesetze/BRGO%202025/28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